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D3" w:rsidRDefault="00C34AD3" w:rsidP="00954004">
      <w:pPr>
        <w:tabs>
          <w:tab w:val="left" w:pos="7938"/>
        </w:tabs>
        <w:ind w:firstLine="1560"/>
        <w:rPr>
          <w:rFonts w:ascii="Times New Roman" w:hAnsi="Times New Roman" w:cs="Times New Roman"/>
          <w:b/>
          <w:bCs/>
          <w:sz w:val="28"/>
          <w:szCs w:val="28"/>
        </w:rPr>
      </w:pPr>
      <w:bookmarkStart w:id="0" w:name="_GoBack"/>
      <w:bookmarkEnd w:id="0"/>
      <w:r>
        <w:rPr>
          <w:rFonts w:ascii="Times New Roman" w:hAnsi="Times New Roman" w:cs="Times New Roman"/>
          <w:b/>
          <w:bCs/>
          <w:noProof/>
          <w:sz w:val="28"/>
          <w:szCs w:val="28"/>
        </w:rPr>
        <w:drawing>
          <wp:inline distT="0" distB="0" distL="0" distR="0">
            <wp:extent cx="4716000" cy="3584917"/>
            <wp:effectExtent l="0" t="0" r="8890" b="0"/>
            <wp:docPr id="1" name="Picture 1" descr="G:\luo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ong.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6000" cy="3584917"/>
                    </a:xfrm>
                    <a:prstGeom prst="rect">
                      <a:avLst/>
                    </a:prstGeom>
                    <a:ln>
                      <a:noFill/>
                    </a:ln>
                    <a:effectLst>
                      <a:softEdge rad="112500"/>
                    </a:effectLst>
                  </pic:spPr>
                </pic:pic>
              </a:graphicData>
            </a:graphic>
          </wp:inline>
        </w:drawing>
      </w:r>
    </w:p>
    <w:p w:rsidR="00C34AD3" w:rsidRPr="00C34AD3" w:rsidRDefault="00C34AD3" w:rsidP="00C34AD3">
      <w:pPr>
        <w:rPr>
          <w:rFonts w:ascii="Times New Roman" w:hAnsi="Times New Roman" w:cs="Times New Roman"/>
          <w:sz w:val="28"/>
          <w:szCs w:val="28"/>
        </w:rPr>
      </w:pPr>
      <w:r w:rsidRPr="00C34AD3">
        <w:rPr>
          <w:rFonts w:ascii="Times New Roman" w:hAnsi="Times New Roman" w:cs="Times New Roman"/>
          <w:b/>
          <w:bCs/>
          <w:sz w:val="28"/>
          <w:szCs w:val="28"/>
        </w:rPr>
        <w:t>I.Đối với khu vực công</w:t>
      </w:r>
      <w:r w:rsidR="00B92840">
        <w:rPr>
          <w:rFonts w:ascii="Times New Roman" w:hAnsi="Times New Roman" w:cs="Times New Roman"/>
          <w:b/>
          <w:bCs/>
          <w:sz w:val="28"/>
          <w:szCs w:val="28"/>
        </w:rPr>
        <w:br/>
        <w:t>1.</w:t>
      </w:r>
      <w:r w:rsidRPr="00C34AD3">
        <w:rPr>
          <w:rFonts w:ascii="Times New Roman" w:hAnsi="Times New Roman" w:cs="Times New Roman"/>
          <w:b/>
          <w:bCs/>
          <w:sz w:val="28"/>
          <w:szCs w:val="28"/>
        </w:rPr>
        <w:t>Mức lương cơ sở năm 2019</w:t>
      </w:r>
      <w:r w:rsidRPr="00C34AD3">
        <w:br/>
      </w:r>
      <w:r w:rsidRPr="00C34AD3">
        <w:rPr>
          <w:rFonts w:ascii="Times New Roman" w:hAnsi="Times New Roman" w:cs="Times New Roman"/>
          <w:sz w:val="28"/>
          <w:szCs w:val="28"/>
        </w:rPr>
        <w:t>- Từ nay đến hết ngày 30/6/2019:  1.390.000 đồng/tháng (Khoản 2 Điều 3 Nghị định </w:t>
      </w:r>
      <w:hyperlink r:id="rId8" w:tgtFrame="_blank" w:history="1">
        <w:r w:rsidRPr="00C34AD3">
          <w:rPr>
            <w:rStyle w:val="Hyperlink"/>
            <w:rFonts w:ascii="Times New Roman" w:hAnsi="Times New Roman" w:cs="Times New Roman"/>
            <w:sz w:val="28"/>
            <w:szCs w:val="28"/>
          </w:rPr>
          <w:t>72/2018/NĐ-CP </w:t>
        </w:r>
      </w:hyperlink>
      <w:r w:rsidRPr="00C34AD3">
        <w:rPr>
          <w:rFonts w:ascii="Times New Roman" w:hAnsi="Times New Roman" w:cs="Times New Roman"/>
          <w:sz w:val="28"/>
          <w:szCs w:val="28"/>
        </w:rPr>
        <w:t> ngày 15/5/2018)</w:t>
      </w:r>
      <w:r w:rsidRPr="00C34AD3">
        <w:rPr>
          <w:rFonts w:ascii="Times New Roman" w:hAnsi="Times New Roman" w:cs="Times New Roman"/>
          <w:sz w:val="28"/>
          <w:szCs w:val="28"/>
        </w:rPr>
        <w:br/>
        <w:t>- Từ ngày 01/7/2019:  1.490.000 đồng/tháng (Khoản 8 Điều 4 Nghị quyết </w:t>
      </w:r>
      <w:hyperlink r:id="rId9" w:tgtFrame="_blank" w:history="1">
        <w:r w:rsidRPr="00C34AD3">
          <w:rPr>
            <w:rStyle w:val="Hyperlink"/>
            <w:rFonts w:ascii="Times New Roman" w:hAnsi="Times New Roman" w:cs="Times New Roman"/>
            <w:sz w:val="28"/>
            <w:szCs w:val="28"/>
          </w:rPr>
          <w:t>70/2018/QH14</w:t>
        </w:r>
      </w:hyperlink>
      <w:r w:rsidRPr="00C34AD3">
        <w:rPr>
          <w:rFonts w:ascii="Times New Roman" w:hAnsi="Times New Roman" w:cs="Times New Roman"/>
          <w:sz w:val="28"/>
          <w:szCs w:val="28"/>
        </w:rPr>
        <w:t> ngày 09/11/2018).</w:t>
      </w:r>
      <w:r w:rsidRPr="00C34AD3">
        <w:rPr>
          <w:rFonts w:ascii="Times New Roman" w:hAnsi="Times New Roman" w:cs="Times New Roman"/>
          <w:sz w:val="28"/>
          <w:szCs w:val="28"/>
        </w:rPr>
        <w:br/>
      </w:r>
      <w:r w:rsidRPr="00C34AD3">
        <w:rPr>
          <w:rFonts w:ascii="Times New Roman" w:hAnsi="Times New Roman" w:cs="Times New Roman"/>
          <w:b/>
          <w:bCs/>
          <w:sz w:val="28"/>
          <w:szCs w:val="28"/>
        </w:rPr>
        <w:t>2. Từ năm 2021, bãi bỏ mức lương cơ sở và xây dựng 05 bảng lương mới</w:t>
      </w:r>
      <w:r w:rsidRPr="00C34AD3">
        <w:rPr>
          <w:rFonts w:ascii="Times New Roman" w:hAnsi="Times New Roman" w:cs="Times New Roman"/>
          <w:sz w:val="28"/>
          <w:szCs w:val="28"/>
        </w:rPr>
        <w:br/>
        <w:t>Thay vì quy định mức lương cơ sở và hệ số hưởng cho các đối tượng thuộc khu vực nhà nước thì kế hoạch tới đây sẽ là bãi bỏ điều này, thay vào đó là mức lương cơ bản bằng số tiền cụ thể tại 05 bảng lương sau đây:</w:t>
      </w:r>
      <w:r w:rsidRPr="00C34AD3">
        <w:rPr>
          <w:rFonts w:ascii="Times New Roman" w:hAnsi="Times New Roman" w:cs="Times New Roman"/>
          <w:sz w:val="28"/>
          <w:szCs w:val="28"/>
        </w:rPr>
        <w:br/>
        <w:t>- 01 bảng lương chức vụ áp dụng đối với cán bộ, công chức, viên chức giữ chức vụ lãnh đạo (bầu cử và bổ nhiệm) trong hệ thống chính trị từ</w:t>
      </w:r>
      <w:r>
        <w:rPr>
          <w:rFonts w:ascii="Times New Roman" w:hAnsi="Times New Roman" w:cs="Times New Roman"/>
          <w:sz w:val="28"/>
          <w:szCs w:val="28"/>
        </w:rPr>
        <w:t xml:space="preserve"> Trung ương.</w:t>
      </w:r>
    </w:p>
    <w:p w:rsidR="00C34AD3" w:rsidRDefault="00C34AD3" w:rsidP="00C34AD3">
      <w:pPr>
        <w:rPr>
          <w:rFonts w:ascii="Times New Roman" w:hAnsi="Times New Roman" w:cs="Times New Roman"/>
          <w:sz w:val="28"/>
          <w:szCs w:val="28"/>
        </w:rPr>
      </w:pPr>
      <w:r w:rsidRPr="00C34AD3">
        <w:rPr>
          <w:rFonts w:ascii="Times New Roman" w:hAnsi="Times New Roman" w:cs="Times New Roman"/>
          <w:sz w:val="28"/>
          <w:szCs w:val="28"/>
        </w:rPr>
        <w:t>Thay vì quy định mức lương cơ sở và hệ số hưởng cho các đối tượng thuộc khu vực nhà nước thì kế hoạch tới đây sẽ là bãi bỏ điều này, thay vào đó là mức lương cơ bản bằng số tiền cụ thể tại 05 bả</w:t>
      </w:r>
      <w:r>
        <w:rPr>
          <w:rFonts w:ascii="Times New Roman" w:hAnsi="Times New Roman" w:cs="Times New Roman"/>
          <w:sz w:val="28"/>
          <w:szCs w:val="28"/>
        </w:rPr>
        <w:t>ng lương sau đây</w:t>
      </w:r>
      <w:proofErr w:type="gramStart"/>
      <w:r>
        <w:rPr>
          <w:rFonts w:ascii="Times New Roman" w:hAnsi="Times New Roman" w:cs="Times New Roman"/>
          <w:sz w:val="28"/>
          <w:szCs w:val="28"/>
        </w:rPr>
        <w:t>:</w:t>
      </w:r>
      <w:proofErr w:type="gramEnd"/>
      <w:r w:rsidRPr="00C34AD3">
        <w:rPr>
          <w:rFonts w:ascii="Times New Roman" w:hAnsi="Times New Roman" w:cs="Times New Roman"/>
          <w:sz w:val="28"/>
          <w:szCs w:val="28"/>
        </w:rPr>
        <w:br/>
        <w:t>- 01 bảng lương chức vụ áp dụng đối với cán bộ, công chức, viên chức giữ chức vụ lãnh đạo (bầu cử và bổ nhiệm) trong hệ thống chính trị từ Trung ương đến cấ</w:t>
      </w:r>
      <w:r>
        <w:rPr>
          <w:rFonts w:ascii="Times New Roman" w:hAnsi="Times New Roman" w:cs="Times New Roman"/>
          <w:sz w:val="28"/>
          <w:szCs w:val="28"/>
        </w:rPr>
        <w:t>p xã.</w:t>
      </w:r>
      <w:r w:rsidRPr="00C34AD3">
        <w:rPr>
          <w:rFonts w:ascii="Times New Roman" w:hAnsi="Times New Roman" w:cs="Times New Roman"/>
          <w:sz w:val="28"/>
          <w:szCs w:val="28"/>
        </w:rPr>
        <w:br/>
        <w:t xml:space="preserve">- 01 bảng lương chuyên môn, nghiệp vụ </w:t>
      </w:r>
      <w:proofErr w:type="gramStart"/>
      <w:r w:rsidRPr="00C34AD3">
        <w:rPr>
          <w:rFonts w:ascii="Times New Roman" w:hAnsi="Times New Roman" w:cs="Times New Roman"/>
          <w:sz w:val="28"/>
          <w:szCs w:val="28"/>
        </w:rPr>
        <w:t>theo</w:t>
      </w:r>
      <w:proofErr w:type="gramEnd"/>
      <w:r w:rsidRPr="00C34AD3">
        <w:rPr>
          <w:rFonts w:ascii="Times New Roman" w:hAnsi="Times New Roman" w:cs="Times New Roman"/>
          <w:sz w:val="28"/>
          <w:szCs w:val="28"/>
        </w:rPr>
        <w:t xml:space="preserve"> ngạch công chức và chức danh nghề nghiệp viên chức áp dụng chung đối với công chức, viên chức không giữ chức danh lãnh đạ</w:t>
      </w:r>
      <w:r>
        <w:rPr>
          <w:rFonts w:ascii="Times New Roman" w:hAnsi="Times New Roman" w:cs="Times New Roman"/>
          <w:sz w:val="28"/>
          <w:szCs w:val="28"/>
        </w:rPr>
        <w:t>o.</w:t>
      </w:r>
      <w:r w:rsidRPr="00C34AD3">
        <w:rPr>
          <w:rFonts w:ascii="Times New Roman" w:hAnsi="Times New Roman" w:cs="Times New Roman"/>
          <w:sz w:val="28"/>
          <w:szCs w:val="28"/>
        </w:rPr>
        <w:br/>
      </w:r>
      <w:r w:rsidRPr="00C34AD3">
        <w:rPr>
          <w:rFonts w:ascii="Times New Roman" w:hAnsi="Times New Roman" w:cs="Times New Roman"/>
          <w:sz w:val="28"/>
          <w:szCs w:val="28"/>
        </w:rPr>
        <w:lastRenderedPageBreak/>
        <w:t>- 03 bảng lương đối với lực lượng vũ trang, gồ</w:t>
      </w:r>
      <w:r>
        <w:rPr>
          <w:rFonts w:ascii="Times New Roman" w:hAnsi="Times New Roman" w:cs="Times New Roman"/>
          <w:sz w:val="28"/>
          <w:szCs w:val="28"/>
        </w:rPr>
        <w:t>m:</w:t>
      </w:r>
      <w:r w:rsidRPr="00C34AD3">
        <w:rPr>
          <w:rFonts w:ascii="Times New Roman" w:hAnsi="Times New Roman" w:cs="Times New Roman"/>
          <w:sz w:val="28"/>
          <w:szCs w:val="28"/>
        </w:rPr>
        <w:br/>
        <w:t>+ 01 bảng lương sĩ quan quân đội, sĩ quan, hạ sĩ quan nghiệp vụ công an (theo chức vụ, chức danh và cấp bậc quân hàm hoặc cấ</w:t>
      </w:r>
      <w:r>
        <w:rPr>
          <w:rFonts w:ascii="Times New Roman" w:hAnsi="Times New Roman" w:cs="Times New Roman"/>
          <w:sz w:val="28"/>
          <w:szCs w:val="28"/>
        </w:rPr>
        <w:t>p hàm);</w:t>
      </w:r>
      <w:r w:rsidRPr="00C34AD3">
        <w:rPr>
          <w:rFonts w:ascii="Times New Roman" w:hAnsi="Times New Roman" w:cs="Times New Roman"/>
          <w:sz w:val="28"/>
          <w:szCs w:val="28"/>
        </w:rPr>
        <w:br/>
        <w:t>+ 01 bảng lương quân nhân chuyên nghiệp, chuyên môn kỹ thuậ</w:t>
      </w:r>
      <w:r>
        <w:rPr>
          <w:rFonts w:ascii="Times New Roman" w:hAnsi="Times New Roman" w:cs="Times New Roman"/>
          <w:sz w:val="28"/>
          <w:szCs w:val="28"/>
        </w:rPr>
        <w:t>t công an;</w:t>
      </w:r>
      <w:r w:rsidRPr="00C34AD3">
        <w:rPr>
          <w:rFonts w:ascii="Times New Roman" w:hAnsi="Times New Roman" w:cs="Times New Roman"/>
          <w:sz w:val="28"/>
          <w:szCs w:val="28"/>
        </w:rPr>
        <w:br/>
        <w:t>+ 01 bảng lương công nhân quốc phòng, công nhân công an (trong đó giữ tương quan tiền lương của lực lượng vũ trang so với công chức hành chính như hiệ</w:t>
      </w:r>
      <w:r>
        <w:rPr>
          <w:rFonts w:ascii="Times New Roman" w:hAnsi="Times New Roman" w:cs="Times New Roman"/>
          <w:sz w:val="28"/>
          <w:szCs w:val="28"/>
        </w:rPr>
        <w:t>n nay).</w:t>
      </w:r>
      <w:r w:rsidRPr="00C34AD3">
        <w:rPr>
          <w:rFonts w:ascii="Times New Roman" w:hAnsi="Times New Roman" w:cs="Times New Roman"/>
          <w:sz w:val="28"/>
          <w:szCs w:val="28"/>
        </w:rPr>
        <w:br/>
        <w:t>(Mục b</w:t>
      </w:r>
      <w:proofErr w:type="gramStart"/>
      <w:r w:rsidRPr="00C34AD3">
        <w:rPr>
          <w:rFonts w:ascii="Times New Roman" w:hAnsi="Times New Roman" w:cs="Times New Roman"/>
          <w:sz w:val="28"/>
          <w:szCs w:val="28"/>
        </w:rPr>
        <w:t>,c</w:t>
      </w:r>
      <w:proofErr w:type="gramEnd"/>
      <w:r w:rsidRPr="00C34AD3">
        <w:rPr>
          <w:rFonts w:ascii="Times New Roman" w:hAnsi="Times New Roman" w:cs="Times New Roman"/>
          <w:sz w:val="28"/>
          <w:szCs w:val="28"/>
        </w:rPr>
        <w:t xml:space="preserve"> Điểm 3.1 Khoản 3 Phần II Nghị quyết </w:t>
      </w:r>
      <w:hyperlink r:id="rId10" w:tgtFrame="_blank" w:history="1">
        <w:r w:rsidRPr="00C34AD3">
          <w:rPr>
            <w:rStyle w:val="Hyperlink"/>
            <w:rFonts w:ascii="Times New Roman" w:hAnsi="Times New Roman" w:cs="Times New Roman"/>
            <w:sz w:val="28"/>
            <w:szCs w:val="28"/>
          </w:rPr>
          <w:t>27-NQ/TW</w:t>
        </w:r>
      </w:hyperlink>
      <w:r>
        <w:rPr>
          <w:rFonts w:ascii="Times New Roman" w:hAnsi="Times New Roman" w:cs="Times New Roman"/>
          <w:sz w:val="28"/>
          <w:szCs w:val="28"/>
        </w:rPr>
        <w:t> ngày 21/5/2018).</w:t>
      </w:r>
      <w:r w:rsidRPr="00C34AD3">
        <w:rPr>
          <w:rFonts w:ascii="Times New Roman" w:hAnsi="Times New Roman" w:cs="Times New Roman"/>
          <w:sz w:val="28"/>
          <w:szCs w:val="28"/>
        </w:rPr>
        <w:br/>
      </w:r>
      <w:r w:rsidRPr="00C34AD3">
        <w:rPr>
          <w:rFonts w:ascii="Times New Roman" w:hAnsi="Times New Roman" w:cs="Times New Roman"/>
          <w:b/>
          <w:bCs/>
          <w:sz w:val="28"/>
          <w:szCs w:val="28"/>
        </w:rPr>
        <w:t>3. Tiến tới bãi bỏ 05 loại phụ cấp hiện hành</w:t>
      </w:r>
      <w:r w:rsidRPr="00C34AD3">
        <w:rPr>
          <w:rFonts w:ascii="Times New Roman" w:hAnsi="Times New Roman" w:cs="Times New Roman"/>
          <w:sz w:val="28"/>
          <w:szCs w:val="28"/>
        </w:rPr>
        <w:br/>
        <w:t>Danh sách các loại phụ cấp sẽ bị bãi bỏ bao gồ</w:t>
      </w:r>
      <w:r>
        <w:rPr>
          <w:rFonts w:ascii="Times New Roman" w:hAnsi="Times New Roman" w:cs="Times New Roman"/>
          <w:sz w:val="28"/>
          <w:szCs w:val="28"/>
        </w:rPr>
        <w:t>m:</w:t>
      </w:r>
      <w:r w:rsidRPr="00C34AD3">
        <w:rPr>
          <w:rFonts w:ascii="Times New Roman" w:hAnsi="Times New Roman" w:cs="Times New Roman"/>
          <w:sz w:val="28"/>
          <w:szCs w:val="28"/>
        </w:rPr>
        <w:br/>
        <w:t>- Phụ cấp thâm niên nghề (trừ quân đội, công an, cơ yếu để bảo đảm tương quan tiền lương với cán bộ, công chứ</w:t>
      </w:r>
      <w:r>
        <w:rPr>
          <w:rFonts w:ascii="Times New Roman" w:hAnsi="Times New Roman" w:cs="Times New Roman"/>
          <w:sz w:val="28"/>
          <w:szCs w:val="28"/>
        </w:rPr>
        <w:t>c);</w:t>
      </w:r>
      <w:r w:rsidRPr="00C34AD3">
        <w:rPr>
          <w:rFonts w:ascii="Times New Roman" w:hAnsi="Times New Roman" w:cs="Times New Roman"/>
          <w:sz w:val="28"/>
          <w:szCs w:val="28"/>
        </w:rPr>
        <w:br/>
        <w:t>- Phụ cấp chức vụ lãnh đạo (do các chức danh lãnh đạo trong hệ thống chính trị thực hiện xếp lương chức vụ</w:t>
      </w:r>
      <w:r>
        <w:rPr>
          <w:rFonts w:ascii="Times New Roman" w:hAnsi="Times New Roman" w:cs="Times New Roman"/>
          <w:sz w:val="28"/>
          <w:szCs w:val="28"/>
        </w:rPr>
        <w:t>)</w:t>
      </w:r>
      <w:r w:rsidRPr="00C34AD3">
        <w:rPr>
          <w:rFonts w:ascii="Times New Roman" w:hAnsi="Times New Roman" w:cs="Times New Roman"/>
          <w:sz w:val="28"/>
          <w:szCs w:val="28"/>
        </w:rPr>
        <w:br/>
        <w:t>- Phụ cấp công tác đảng, đoàn thể chính trị - xã hộ</w:t>
      </w:r>
      <w:r>
        <w:rPr>
          <w:rFonts w:ascii="Times New Roman" w:hAnsi="Times New Roman" w:cs="Times New Roman"/>
          <w:sz w:val="28"/>
          <w:szCs w:val="28"/>
        </w:rPr>
        <w:t>i;</w:t>
      </w:r>
      <w:r w:rsidRPr="00C34AD3">
        <w:rPr>
          <w:rFonts w:ascii="Times New Roman" w:hAnsi="Times New Roman" w:cs="Times New Roman"/>
          <w:sz w:val="28"/>
          <w:szCs w:val="28"/>
        </w:rPr>
        <w:br/>
        <w:t>- Phụ cấp công vụ (do đã đưa vào trong mức lương cơ bả</w:t>
      </w:r>
      <w:r>
        <w:rPr>
          <w:rFonts w:ascii="Times New Roman" w:hAnsi="Times New Roman" w:cs="Times New Roman"/>
          <w:sz w:val="28"/>
          <w:szCs w:val="28"/>
        </w:rPr>
        <w:t>n);</w:t>
      </w:r>
      <w:r w:rsidRPr="00C34AD3">
        <w:rPr>
          <w:rFonts w:ascii="Times New Roman" w:hAnsi="Times New Roman" w:cs="Times New Roman"/>
          <w:sz w:val="28"/>
          <w:szCs w:val="28"/>
        </w:rPr>
        <w:br/>
        <w:t>- Phụ cấp độc hại, nguy hiểm (do đã đưa điều kiện lao động có yếu tố độc hại, nguy hiểm vào phụ cấp theo nghề</w:t>
      </w:r>
      <w:r>
        <w:rPr>
          <w:rFonts w:ascii="Times New Roman" w:hAnsi="Times New Roman" w:cs="Times New Roman"/>
          <w:sz w:val="28"/>
          <w:szCs w:val="28"/>
        </w:rPr>
        <w:t>).</w:t>
      </w:r>
      <w:r w:rsidRPr="00C34AD3">
        <w:rPr>
          <w:rFonts w:ascii="Times New Roman" w:hAnsi="Times New Roman" w:cs="Times New Roman"/>
          <w:sz w:val="28"/>
          <w:szCs w:val="28"/>
        </w:rPr>
        <w:br/>
        <w:t>Đồng thờ</w:t>
      </w:r>
      <w:r>
        <w:rPr>
          <w:rFonts w:ascii="Times New Roman" w:hAnsi="Times New Roman" w:cs="Times New Roman"/>
          <w:sz w:val="28"/>
          <w:szCs w:val="28"/>
        </w:rPr>
        <w:t>i</w:t>
      </w:r>
      <w:proofErr w:type="gramStart"/>
      <w:r>
        <w:rPr>
          <w:rFonts w:ascii="Times New Roman" w:hAnsi="Times New Roman" w:cs="Times New Roman"/>
          <w:sz w:val="28"/>
          <w:szCs w:val="28"/>
        </w:rPr>
        <w:t>:</w:t>
      </w:r>
      <w:proofErr w:type="gramEnd"/>
      <w:r w:rsidRPr="00C34AD3">
        <w:rPr>
          <w:rFonts w:ascii="Times New Roman" w:hAnsi="Times New Roman" w:cs="Times New Roman"/>
          <w:sz w:val="28"/>
          <w:szCs w:val="28"/>
        </w:rPr>
        <w:br/>
        <w:t>- Gộp phụ cấp ưu đãi theo nghề, phụ cấp trách nhiệm theo nghề và phụ cấp độc hại, nguy hiểm áp dụng đối với công chức, viên chức của những nghề, công việc có yếu tố điều kiện lao động cao hơn bình thường và có chính sách ưu đãi phù hợp của Nhà nướ</w:t>
      </w:r>
      <w:r>
        <w:rPr>
          <w:rFonts w:ascii="Times New Roman" w:hAnsi="Times New Roman" w:cs="Times New Roman"/>
          <w:sz w:val="28"/>
          <w:szCs w:val="28"/>
        </w:rPr>
        <w:t>c.</w:t>
      </w:r>
      <w:r w:rsidRPr="00C34AD3">
        <w:rPr>
          <w:rFonts w:ascii="Times New Roman" w:hAnsi="Times New Roman" w:cs="Times New Roman"/>
          <w:sz w:val="28"/>
          <w:szCs w:val="28"/>
        </w:rPr>
        <w:br/>
        <w:t xml:space="preserve">- Gộp phụ cấp đặc biệt, phụ cấp </w:t>
      </w:r>
      <w:proofErr w:type="gramStart"/>
      <w:r w:rsidRPr="00C34AD3">
        <w:rPr>
          <w:rFonts w:ascii="Times New Roman" w:hAnsi="Times New Roman" w:cs="Times New Roman"/>
          <w:sz w:val="28"/>
          <w:szCs w:val="28"/>
        </w:rPr>
        <w:t>thu</w:t>
      </w:r>
      <w:proofErr w:type="gramEnd"/>
      <w:r w:rsidRPr="00C34AD3">
        <w:rPr>
          <w:rFonts w:ascii="Times New Roman" w:hAnsi="Times New Roman" w:cs="Times New Roman"/>
          <w:sz w:val="28"/>
          <w:szCs w:val="28"/>
        </w:rPr>
        <w:t xml:space="preserve"> hút và trợ cấp công tác lâu năm ở vùng có điều kiện kinh tế - xã hội đặc biệt khó khăn thành phụ cấp công tác ở vùng đặc biệ</w:t>
      </w:r>
      <w:r>
        <w:rPr>
          <w:rFonts w:ascii="Times New Roman" w:hAnsi="Times New Roman" w:cs="Times New Roman"/>
          <w:sz w:val="28"/>
          <w:szCs w:val="28"/>
        </w:rPr>
        <w:t>t khó khăn.</w:t>
      </w:r>
      <w:r w:rsidRPr="00C34AD3">
        <w:rPr>
          <w:rFonts w:ascii="Times New Roman" w:hAnsi="Times New Roman" w:cs="Times New Roman"/>
          <w:sz w:val="28"/>
          <w:szCs w:val="28"/>
        </w:rPr>
        <w:br/>
        <w:t xml:space="preserve">- Quy định mới chế độ phụ cấp </w:t>
      </w:r>
      <w:proofErr w:type="gramStart"/>
      <w:r w:rsidRPr="00C34AD3">
        <w:rPr>
          <w:rFonts w:ascii="Times New Roman" w:hAnsi="Times New Roman" w:cs="Times New Roman"/>
          <w:sz w:val="28"/>
          <w:szCs w:val="28"/>
        </w:rPr>
        <w:t>theo</w:t>
      </w:r>
      <w:proofErr w:type="gramEnd"/>
      <w:r w:rsidRPr="00C34AD3">
        <w:rPr>
          <w:rFonts w:ascii="Times New Roman" w:hAnsi="Times New Roman" w:cs="Times New Roman"/>
          <w:sz w:val="28"/>
          <w:szCs w:val="28"/>
        </w:rPr>
        <w:t xml:space="preserve"> phân loại đơn vị hành chính đối với cấp xã, cấp huyện và cấp tỉ</w:t>
      </w:r>
      <w:r>
        <w:rPr>
          <w:rFonts w:ascii="Times New Roman" w:hAnsi="Times New Roman" w:cs="Times New Roman"/>
          <w:sz w:val="28"/>
          <w:szCs w:val="28"/>
        </w:rPr>
        <w:t>nh.</w:t>
      </w:r>
      <w:r w:rsidRPr="00C34AD3">
        <w:rPr>
          <w:rFonts w:ascii="Times New Roman" w:hAnsi="Times New Roman" w:cs="Times New Roman"/>
          <w:sz w:val="28"/>
          <w:szCs w:val="28"/>
        </w:rPr>
        <w:br/>
      </w:r>
      <w:proofErr w:type="gramStart"/>
      <w:r w:rsidRPr="00C34AD3">
        <w:rPr>
          <w:rFonts w:ascii="Times New Roman" w:hAnsi="Times New Roman" w:cs="Times New Roman"/>
          <w:sz w:val="28"/>
          <w:szCs w:val="28"/>
        </w:rPr>
        <w:t>(Mục d, Điểm 3.1 Khoản 3 Phần II Nghị quyết </w:t>
      </w:r>
      <w:hyperlink r:id="rId11" w:tgtFrame="_blank" w:history="1">
        <w:r w:rsidRPr="00C34AD3">
          <w:rPr>
            <w:rStyle w:val="Hyperlink"/>
            <w:rFonts w:ascii="Times New Roman" w:hAnsi="Times New Roman" w:cs="Times New Roman"/>
            <w:sz w:val="28"/>
            <w:szCs w:val="28"/>
          </w:rPr>
          <w:t>27-NQ/TW</w:t>
        </w:r>
      </w:hyperlink>
      <w:r>
        <w:rPr>
          <w:rFonts w:ascii="Times New Roman" w:hAnsi="Times New Roman" w:cs="Times New Roman"/>
          <w:sz w:val="28"/>
          <w:szCs w:val="28"/>
        </w:rPr>
        <w:t> ngày 21/5/2018).</w:t>
      </w:r>
      <w:proofErr w:type="gramEnd"/>
      <w:r w:rsidRPr="00C34AD3">
        <w:rPr>
          <w:rFonts w:ascii="Times New Roman" w:hAnsi="Times New Roman" w:cs="Times New Roman"/>
          <w:sz w:val="28"/>
          <w:szCs w:val="28"/>
        </w:rPr>
        <w:br/>
      </w:r>
      <w:r w:rsidRPr="00C34AD3">
        <w:rPr>
          <w:rFonts w:ascii="Times New Roman" w:hAnsi="Times New Roman" w:cs="Times New Roman"/>
          <w:b/>
          <w:bCs/>
          <w:sz w:val="28"/>
          <w:szCs w:val="28"/>
        </w:rPr>
        <w:t>4. Bãi bỏ các khoản chi ngoài lương của cán bộ, công chức, viên chức có nguồn gốc từ NSNN</w:t>
      </w:r>
      <w:r w:rsidRPr="00C34AD3">
        <w:rPr>
          <w:rFonts w:ascii="Times New Roman" w:hAnsi="Times New Roman" w:cs="Times New Roman"/>
          <w:sz w:val="28"/>
          <w:szCs w:val="28"/>
        </w:rPr>
        <w:br/>
        <w:t>Có thể kể đến một số khoản như:  Tiền bồi dưỡng họp; tiền bồi dưỡng xây dựng văn bản quy phạm pháp luật, đề án; hội thả</w:t>
      </w:r>
      <w:r>
        <w:rPr>
          <w:rFonts w:ascii="Times New Roman" w:hAnsi="Times New Roman" w:cs="Times New Roman"/>
          <w:sz w:val="28"/>
          <w:szCs w:val="28"/>
        </w:rPr>
        <w:t>o...</w:t>
      </w:r>
      <w:r w:rsidRPr="00C34AD3">
        <w:rPr>
          <w:rFonts w:ascii="Times New Roman" w:hAnsi="Times New Roman" w:cs="Times New Roman"/>
          <w:sz w:val="28"/>
          <w:szCs w:val="28"/>
        </w:rPr>
        <w:br/>
        <w:t>(Khoản 4 Phần III Nghị quyết </w:t>
      </w:r>
      <w:hyperlink r:id="rId12" w:tgtFrame="_blank" w:history="1">
        <w:r w:rsidRPr="00C34AD3">
          <w:rPr>
            <w:rStyle w:val="Hyperlink"/>
            <w:rFonts w:ascii="Times New Roman" w:hAnsi="Times New Roman" w:cs="Times New Roman"/>
            <w:sz w:val="28"/>
            <w:szCs w:val="28"/>
          </w:rPr>
          <w:t>27-NQ/TW</w:t>
        </w:r>
      </w:hyperlink>
      <w:r w:rsidRPr="00C34AD3">
        <w:rPr>
          <w:rFonts w:ascii="Times New Roman" w:hAnsi="Times New Roman" w:cs="Times New Roman"/>
          <w:sz w:val="28"/>
          <w:szCs w:val="28"/>
        </w:rPr>
        <w:t> ngày 21/5/2018)</w:t>
      </w:r>
    </w:p>
    <w:p w:rsidR="00C34AD3" w:rsidRDefault="00C34AD3" w:rsidP="00C34AD3">
      <w:pPr>
        <w:rPr>
          <w:rFonts w:ascii="Times New Roman" w:hAnsi="Times New Roman" w:cs="Times New Roman"/>
          <w:sz w:val="28"/>
          <w:szCs w:val="28"/>
        </w:rPr>
      </w:pPr>
      <w:r w:rsidRPr="00A14E17">
        <w:rPr>
          <w:rFonts w:ascii="Times New Roman" w:hAnsi="Times New Roman" w:cs="Times New Roman"/>
          <w:b/>
          <w:bCs/>
          <w:sz w:val="28"/>
          <w:szCs w:val="28"/>
        </w:rPr>
        <w:t>II. Đối với khu vực doanh nghiệ</w:t>
      </w:r>
      <w:r>
        <w:rPr>
          <w:rFonts w:ascii="Times New Roman" w:hAnsi="Times New Roman" w:cs="Times New Roman"/>
          <w:b/>
          <w:bCs/>
          <w:sz w:val="28"/>
          <w:szCs w:val="28"/>
        </w:rPr>
        <w:t>p</w:t>
      </w:r>
    </w:p>
    <w:p w:rsidR="00C34AD3" w:rsidRPr="00C34AD3" w:rsidRDefault="00C34AD3" w:rsidP="00C34AD3">
      <w:pPr>
        <w:tabs>
          <w:tab w:val="left" w:pos="7311"/>
        </w:tabs>
        <w:rPr>
          <w:rFonts w:ascii="Times New Roman" w:hAnsi="Times New Roman" w:cs="Times New Roman"/>
          <w:sz w:val="28"/>
          <w:szCs w:val="28"/>
        </w:rPr>
      </w:pPr>
      <w:r>
        <w:rPr>
          <w:rFonts w:ascii="Times New Roman" w:hAnsi="Times New Roman" w:cs="Times New Roman"/>
          <w:b/>
          <w:bCs/>
          <w:sz w:val="28"/>
          <w:szCs w:val="28"/>
        </w:rPr>
        <w:t>L</w:t>
      </w:r>
      <w:r w:rsidRPr="00C34AD3">
        <w:rPr>
          <w:rFonts w:ascii="Times New Roman" w:hAnsi="Times New Roman" w:cs="Times New Roman"/>
          <w:b/>
          <w:bCs/>
          <w:sz w:val="28"/>
          <w:szCs w:val="28"/>
        </w:rPr>
        <w:t>ương tối thiểu vùng năm 2019</w:t>
      </w:r>
      <w:r w:rsidRPr="00C34AD3">
        <w:rPr>
          <w:rFonts w:ascii="Times New Roman" w:hAnsi="Times New Roman" w:cs="Times New Roman"/>
          <w:sz w:val="28"/>
          <w:szCs w:val="28"/>
        </w:rPr>
        <w:br/>
        <w:t>- Mức 4.180.000 đồng/tháng, áp dụng đối với doanh nghiệp hoạt động trên địa bàn thuộ</w:t>
      </w:r>
      <w:r>
        <w:rPr>
          <w:rFonts w:ascii="Times New Roman" w:hAnsi="Times New Roman" w:cs="Times New Roman"/>
          <w:sz w:val="28"/>
          <w:szCs w:val="28"/>
        </w:rPr>
        <w:t>c vùng I</w:t>
      </w:r>
      <w:proofErr w:type="gramStart"/>
      <w:r>
        <w:rPr>
          <w:rFonts w:ascii="Times New Roman" w:hAnsi="Times New Roman" w:cs="Times New Roman"/>
          <w:sz w:val="28"/>
          <w:szCs w:val="28"/>
        </w:rPr>
        <w:t>;</w:t>
      </w:r>
      <w:proofErr w:type="gramEnd"/>
      <w:r w:rsidRPr="00C34AD3">
        <w:rPr>
          <w:rFonts w:ascii="Times New Roman" w:hAnsi="Times New Roman" w:cs="Times New Roman"/>
          <w:sz w:val="28"/>
          <w:szCs w:val="28"/>
        </w:rPr>
        <w:br/>
      </w:r>
      <w:r w:rsidRPr="00C34AD3">
        <w:rPr>
          <w:rFonts w:ascii="Times New Roman" w:hAnsi="Times New Roman" w:cs="Times New Roman"/>
          <w:sz w:val="28"/>
          <w:szCs w:val="28"/>
        </w:rPr>
        <w:lastRenderedPageBreak/>
        <w:t>- Mức 3.710.000 đồng/tháng, áp dụng đối với doanh nghiệp hoạt động trên địa bàn thuộ</w:t>
      </w:r>
      <w:r>
        <w:rPr>
          <w:rFonts w:ascii="Times New Roman" w:hAnsi="Times New Roman" w:cs="Times New Roman"/>
          <w:sz w:val="28"/>
          <w:szCs w:val="28"/>
        </w:rPr>
        <w:t>c vùng II;</w:t>
      </w:r>
      <w:r w:rsidRPr="00C34AD3">
        <w:rPr>
          <w:rFonts w:ascii="Times New Roman" w:hAnsi="Times New Roman" w:cs="Times New Roman"/>
          <w:sz w:val="28"/>
          <w:szCs w:val="28"/>
        </w:rPr>
        <w:br/>
        <w:t>- Mức 3.250.000 đồng/tháng, áp dụng đối với doanh nghiệp hoạt động trên địa bàn thuộ</w:t>
      </w:r>
      <w:r>
        <w:rPr>
          <w:rFonts w:ascii="Times New Roman" w:hAnsi="Times New Roman" w:cs="Times New Roman"/>
          <w:sz w:val="28"/>
          <w:szCs w:val="28"/>
        </w:rPr>
        <w:t>c vùng III;</w:t>
      </w:r>
      <w:r w:rsidRPr="00C34AD3">
        <w:rPr>
          <w:rFonts w:ascii="Times New Roman" w:hAnsi="Times New Roman" w:cs="Times New Roman"/>
          <w:sz w:val="28"/>
          <w:szCs w:val="28"/>
        </w:rPr>
        <w:br/>
        <w:t>- Mức 2.920.000 đồng/tháng, áp dụng đối với doanh nghiệp hoạt động trên địa bàn thuộ</w:t>
      </w:r>
      <w:r>
        <w:rPr>
          <w:rFonts w:ascii="Times New Roman" w:hAnsi="Times New Roman" w:cs="Times New Roman"/>
          <w:sz w:val="28"/>
          <w:szCs w:val="28"/>
        </w:rPr>
        <w:t>c vùng IV.</w:t>
      </w:r>
      <w:r w:rsidRPr="00C34AD3">
        <w:rPr>
          <w:rFonts w:ascii="Times New Roman" w:hAnsi="Times New Roman" w:cs="Times New Roman"/>
          <w:sz w:val="28"/>
          <w:szCs w:val="28"/>
        </w:rPr>
        <w:br/>
      </w:r>
      <w:proofErr w:type="gramStart"/>
      <w:r w:rsidRPr="00C34AD3">
        <w:rPr>
          <w:rFonts w:ascii="Times New Roman" w:hAnsi="Times New Roman" w:cs="Times New Roman"/>
          <w:sz w:val="28"/>
          <w:szCs w:val="28"/>
        </w:rPr>
        <w:t>(Điều 3 Nghị định </w:t>
      </w:r>
      <w:hyperlink r:id="rId13" w:tgtFrame="_blank" w:history="1">
        <w:r w:rsidRPr="00C34AD3">
          <w:rPr>
            <w:rStyle w:val="Hyperlink"/>
            <w:rFonts w:ascii="Times New Roman" w:hAnsi="Times New Roman" w:cs="Times New Roman"/>
            <w:sz w:val="28"/>
            <w:szCs w:val="28"/>
          </w:rPr>
          <w:t>157/2018/NĐ-CP</w:t>
        </w:r>
      </w:hyperlink>
      <w:r>
        <w:rPr>
          <w:rFonts w:ascii="Times New Roman" w:hAnsi="Times New Roman" w:cs="Times New Roman"/>
          <w:sz w:val="28"/>
          <w:szCs w:val="28"/>
        </w:rPr>
        <w:t> ngày 16/11/2018).</w:t>
      </w:r>
      <w:proofErr w:type="gramEnd"/>
    </w:p>
    <w:p w:rsidR="00C34AD3" w:rsidRPr="00DA7D2C" w:rsidRDefault="00DA7D2C" w:rsidP="00DA7D2C">
      <w:pPr>
        <w:tabs>
          <w:tab w:val="left" w:pos="7311"/>
        </w:tabs>
        <w:jc w:val="center"/>
        <w:rPr>
          <w:rFonts w:ascii="Times New Roman" w:hAnsi="Times New Roman" w:cs="Times New Roman"/>
          <w:bCs/>
          <w:sz w:val="28"/>
          <w:szCs w:val="28"/>
        </w:rPr>
      </w:pPr>
      <w:r>
        <w:rPr>
          <w:rFonts w:ascii="Times New Roman" w:hAnsi="Times New Roman" w:cs="Times New Roman"/>
          <w:bCs/>
          <w:sz w:val="28"/>
          <w:szCs w:val="28"/>
        </w:rPr>
        <w:sym w:font="Wingdings" w:char="F020"/>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p>
    <w:p w:rsidR="00C34AD3" w:rsidRPr="00C34AD3" w:rsidRDefault="00C34AD3" w:rsidP="00C34AD3">
      <w:pPr>
        <w:tabs>
          <w:tab w:val="left" w:pos="7311"/>
        </w:tabs>
        <w:rPr>
          <w:rFonts w:ascii="Times New Roman" w:hAnsi="Times New Roman" w:cs="Times New Roman"/>
          <w:b/>
          <w:bCs/>
          <w:sz w:val="28"/>
          <w:szCs w:val="28"/>
        </w:rPr>
      </w:pPr>
      <w:r w:rsidRPr="00C34AD3">
        <w:rPr>
          <w:rFonts w:ascii="Times New Roman" w:hAnsi="Times New Roman" w:cs="Times New Roman"/>
          <w:b/>
          <w:bCs/>
          <w:sz w:val="28"/>
          <w:szCs w:val="28"/>
        </w:rPr>
        <w:t>SẼ TRẢ LƯƠNG GIÁO VIÊN THEO VỊ TRÍ VIỆC LÀM TỪ 01/01/2020</w:t>
      </w:r>
    </w:p>
    <w:p w:rsidR="00C34AD3" w:rsidRDefault="004677FC" w:rsidP="00C34AD3">
      <w:pPr>
        <w:tabs>
          <w:tab w:val="left" w:pos="7311"/>
        </w:tabs>
        <w:rPr>
          <w:rFonts w:ascii="Times New Roman" w:hAnsi="Times New Roman" w:cs="Times New Roman"/>
          <w:b/>
          <w:bCs/>
          <w:sz w:val="28"/>
          <w:szCs w:val="28"/>
        </w:rPr>
      </w:pPr>
      <w:hyperlink r:id="rId14" w:tgtFrame="_blank" w:history="1">
        <w:r w:rsidR="00C34AD3" w:rsidRPr="00C34AD3">
          <w:rPr>
            <w:rStyle w:val="Hyperlink"/>
            <w:rFonts w:ascii="Times New Roman" w:hAnsi="Times New Roman" w:cs="Times New Roman"/>
            <w:b/>
            <w:bCs/>
            <w:sz w:val="28"/>
            <w:szCs w:val="28"/>
          </w:rPr>
          <w:t>Dự thảo Luật Cán bộ, công chức và Luật Viên chức sửa đổi</w:t>
        </w:r>
      </w:hyperlink>
      <w:r w:rsidR="00C34AD3" w:rsidRPr="00C34AD3">
        <w:rPr>
          <w:rFonts w:ascii="Times New Roman" w:hAnsi="Times New Roman" w:cs="Times New Roman"/>
          <w:b/>
          <w:bCs/>
          <w:sz w:val="28"/>
          <w:szCs w:val="28"/>
        </w:rPr>
        <w:t> đang được đưa ra lấy ý kiến, trong đó sửa đổi nội dung về vị trí việc làm làm căn cứ trả lương cho viên chức (trong đó có giáo viên)</w:t>
      </w:r>
    </w:p>
    <w:p w:rsidR="00C34AD3" w:rsidRPr="00C34AD3" w:rsidRDefault="00C34AD3" w:rsidP="00C34AD3">
      <w:pPr>
        <w:tabs>
          <w:tab w:val="left" w:pos="7311"/>
        </w:tabs>
        <w:rPr>
          <w:rFonts w:ascii="Times New Roman" w:hAnsi="Times New Roman" w:cs="Times New Roman"/>
          <w:bCs/>
          <w:sz w:val="28"/>
          <w:szCs w:val="28"/>
        </w:rPr>
      </w:pPr>
      <w:proofErr w:type="gramStart"/>
      <w:r w:rsidRPr="00C34AD3">
        <w:rPr>
          <w:rFonts w:ascii="Times New Roman" w:hAnsi="Times New Roman" w:cs="Times New Roman"/>
          <w:bCs/>
          <w:sz w:val="28"/>
          <w:szCs w:val="28"/>
        </w:rPr>
        <w:t>Cụ thể, Dự thảo sẽ sửa đổi quy định tại khoản 1 Điều 7 </w:t>
      </w:r>
      <w:hyperlink r:id="rId15" w:tgtFrame="_blank" w:history="1">
        <w:r w:rsidRPr="00C34AD3">
          <w:rPr>
            <w:rStyle w:val="Hyperlink"/>
            <w:rFonts w:ascii="Times New Roman" w:hAnsi="Times New Roman" w:cs="Times New Roman"/>
            <w:bCs/>
            <w:sz w:val="28"/>
            <w:szCs w:val="28"/>
          </w:rPr>
          <w:t>Luật Viên chức</w:t>
        </w:r>
      </w:hyperlink>
      <w:r w:rsidRPr="00C34AD3">
        <w:rPr>
          <w:rFonts w:ascii="Times New Roman" w:hAnsi="Times New Roman" w:cs="Times New Roman"/>
          <w:bCs/>
          <w:sz w:val="28"/>
          <w:szCs w:val="28"/>
        </w:rPr>
        <w:t> về vị trí việc làm.</w:t>
      </w:r>
      <w:proofErr w:type="gramEnd"/>
      <w:r w:rsidRPr="00C34AD3">
        <w:rPr>
          <w:rFonts w:ascii="Times New Roman" w:hAnsi="Times New Roman" w:cs="Times New Roman"/>
          <w:bCs/>
          <w:sz w:val="28"/>
          <w:szCs w:val="28"/>
        </w:rPr>
        <w:t xml:space="preserve"> Trong đó, xác định rõ vị trí việc </w:t>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 xml:space="preserve">Như vậy, từ ngày 01/01/2020, lương viên chức, trong đó có giáo viên sẽ được trả </w:t>
      </w:r>
      <w:proofErr w:type="gramStart"/>
      <w:r w:rsidRPr="00C34AD3">
        <w:rPr>
          <w:rFonts w:ascii="Times New Roman" w:hAnsi="Times New Roman" w:cs="Times New Roman"/>
          <w:bCs/>
          <w:sz w:val="28"/>
          <w:szCs w:val="28"/>
        </w:rPr>
        <w:t>theo</w:t>
      </w:r>
      <w:proofErr w:type="gramEnd"/>
      <w:r w:rsidRPr="00C34AD3">
        <w:rPr>
          <w:rFonts w:ascii="Times New Roman" w:hAnsi="Times New Roman" w:cs="Times New Roman"/>
          <w:bCs/>
          <w:sz w:val="28"/>
          <w:szCs w:val="28"/>
        </w:rPr>
        <w:t xml:space="preserve"> vị trí việc làm.</w:t>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Bên cạnh đó</w:t>
      </w:r>
      <w:r w:rsidRPr="00C34AD3">
        <w:rPr>
          <w:rFonts w:ascii="Times New Roman" w:hAnsi="Times New Roman" w:cs="Times New Roman"/>
          <w:b/>
          <w:bCs/>
          <w:sz w:val="28"/>
          <w:szCs w:val="28"/>
        </w:rPr>
        <w:t xml:space="preserve">, </w:t>
      </w:r>
      <w:r w:rsidRPr="00C34AD3">
        <w:rPr>
          <w:rFonts w:ascii="Times New Roman" w:hAnsi="Times New Roman" w:cs="Times New Roman"/>
          <w:bCs/>
          <w:sz w:val="28"/>
          <w:szCs w:val="28"/>
        </w:rPr>
        <w:t xml:space="preserve">Dự thảo còn bổ sung thêm nhiều nội </w:t>
      </w:r>
      <w:r w:rsidR="00B92840" w:rsidRPr="00C34AD3">
        <w:rPr>
          <w:rFonts w:ascii="Times New Roman" w:hAnsi="Times New Roman" w:cs="Times New Roman"/>
          <w:bCs/>
          <w:sz w:val="28"/>
          <w:szCs w:val="28"/>
        </w:rPr>
        <w:t xml:space="preserve">làm là căn cứ để xác định biên chế, tuyển dụng, sử dụng và trả lương đối với viên chức thực hiện </w:t>
      </w:r>
      <w:proofErr w:type="gramStart"/>
      <w:r w:rsidR="00B92840" w:rsidRPr="00C34AD3">
        <w:rPr>
          <w:rFonts w:ascii="Times New Roman" w:hAnsi="Times New Roman" w:cs="Times New Roman"/>
          <w:bCs/>
          <w:sz w:val="28"/>
          <w:szCs w:val="28"/>
        </w:rPr>
        <w:t>theo</w:t>
      </w:r>
      <w:proofErr w:type="gramEnd"/>
      <w:r w:rsidR="00B92840" w:rsidRPr="00C34AD3">
        <w:rPr>
          <w:rFonts w:ascii="Times New Roman" w:hAnsi="Times New Roman" w:cs="Times New Roman"/>
          <w:bCs/>
          <w:sz w:val="28"/>
          <w:szCs w:val="28"/>
        </w:rPr>
        <w:t> </w:t>
      </w:r>
      <w:hyperlink r:id="rId16" w:tgtFrame="_blank" w:history="1">
        <w:r w:rsidR="00B92840" w:rsidRPr="00C34AD3">
          <w:rPr>
            <w:rStyle w:val="Hyperlink"/>
            <w:rFonts w:ascii="Times New Roman" w:hAnsi="Times New Roman" w:cs="Times New Roman"/>
            <w:bCs/>
            <w:sz w:val="28"/>
            <w:szCs w:val="28"/>
          </w:rPr>
          <w:t>Nghị quyết 27/NQ-TW</w:t>
        </w:r>
      </w:hyperlink>
      <w:r w:rsidR="00B92840" w:rsidRPr="00C34AD3">
        <w:rPr>
          <w:rFonts w:ascii="Times New Roman" w:hAnsi="Times New Roman" w:cs="Times New Roman"/>
          <w:bCs/>
          <w:sz w:val="28"/>
          <w:szCs w:val="28"/>
        </w:rPr>
        <w:t> về việc trả lương theo vị trí việc làm.</w:t>
      </w:r>
      <w:r w:rsidRPr="00C34AD3">
        <w:rPr>
          <w:rFonts w:ascii="Times New Roman" w:hAnsi="Times New Roman" w:cs="Times New Roman"/>
          <w:bCs/>
          <w:sz w:val="28"/>
          <w:szCs w:val="28"/>
        </w:rPr>
        <w:t>dung quan trọng khác, cụ thể:</w:t>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 Bổ sung thêm trường hợp "viên chức không đạt yêu cầu sau thời gian tập sự" thì đơn vị sự nghiệp công lập được đơn phương chấm dứt hợp đồng làm việc.</w:t>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 Bổ sung thêm quy định về kỷ luật viên chức sau khi nghỉ việc hoặc nghỉ hưu.</w:t>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 xml:space="preserve"> Theo đó, viên chức sau khi nghỉ việc hoặc nghỉ hưu mới phát hiện có hành </w:t>
      </w:r>
      <w:proofErr w:type="gramStart"/>
      <w:r w:rsidRPr="00C34AD3">
        <w:rPr>
          <w:rFonts w:ascii="Times New Roman" w:hAnsi="Times New Roman" w:cs="Times New Roman"/>
          <w:bCs/>
          <w:sz w:val="28"/>
          <w:szCs w:val="28"/>
        </w:rPr>
        <w:t>vi</w:t>
      </w:r>
      <w:proofErr w:type="gramEnd"/>
      <w:r w:rsidRPr="00C34AD3">
        <w:rPr>
          <w:rFonts w:ascii="Times New Roman" w:hAnsi="Times New Roman" w:cs="Times New Roman"/>
          <w:bCs/>
          <w:sz w:val="28"/>
          <w:szCs w:val="28"/>
        </w:rPr>
        <w:t xml:space="preserve"> vi phạm trong thời gian công tác và đã bị cơ quan có thẩm quyền xủ lý kỷ luật</w:t>
      </w:r>
      <w:r w:rsidRPr="00C34AD3">
        <w:rPr>
          <w:rFonts w:ascii="Times New Roman" w:hAnsi="Times New Roman" w:cs="Times New Roman"/>
          <w:b/>
          <w:bCs/>
          <w:sz w:val="28"/>
          <w:szCs w:val="28"/>
        </w:rPr>
        <w:t xml:space="preserve"> </w:t>
      </w:r>
      <w:r w:rsidRPr="00C34AD3">
        <w:rPr>
          <w:rFonts w:ascii="Times New Roman" w:hAnsi="Times New Roman" w:cs="Times New Roman"/>
          <w:bCs/>
          <w:sz w:val="28"/>
          <w:szCs w:val="28"/>
        </w:rPr>
        <w:t>về Đảng thì tùy theo tính chất, mức độ vi phạm phải chịu một trong các hình thức kỷ luật sau đây:</w:t>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 Khiển trách;</w:t>
      </w:r>
      <w:r w:rsidRPr="00C34AD3">
        <w:rPr>
          <w:rFonts w:ascii="Times New Roman" w:hAnsi="Times New Roman" w:cs="Times New Roman"/>
          <w:bCs/>
          <w:sz w:val="28"/>
          <w:szCs w:val="28"/>
        </w:rPr>
        <w:tab/>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 Cảnh cáo;</w:t>
      </w:r>
    </w:p>
    <w:p w:rsidR="00C34AD3" w:rsidRPr="00C34AD3" w:rsidRDefault="00C34AD3" w:rsidP="00C34AD3">
      <w:pPr>
        <w:tabs>
          <w:tab w:val="left" w:pos="7311"/>
        </w:tabs>
        <w:rPr>
          <w:rFonts w:ascii="Times New Roman" w:hAnsi="Times New Roman" w:cs="Times New Roman"/>
          <w:bCs/>
          <w:sz w:val="28"/>
          <w:szCs w:val="28"/>
        </w:rPr>
      </w:pPr>
      <w:r w:rsidRPr="00C34AD3">
        <w:rPr>
          <w:rFonts w:ascii="Times New Roman" w:hAnsi="Times New Roman" w:cs="Times New Roman"/>
          <w:bCs/>
          <w:sz w:val="28"/>
          <w:szCs w:val="28"/>
        </w:rPr>
        <w:t xml:space="preserve">+ Cách chức chức vụ đã đảm nhiệm tại thời điểm có hành </w:t>
      </w:r>
      <w:proofErr w:type="gramStart"/>
      <w:r w:rsidRPr="00C34AD3">
        <w:rPr>
          <w:rFonts w:ascii="Times New Roman" w:hAnsi="Times New Roman" w:cs="Times New Roman"/>
          <w:bCs/>
          <w:sz w:val="28"/>
          <w:szCs w:val="28"/>
        </w:rPr>
        <w:t>vi</w:t>
      </w:r>
      <w:proofErr w:type="gramEnd"/>
      <w:r w:rsidRPr="00C34AD3">
        <w:rPr>
          <w:rFonts w:ascii="Times New Roman" w:hAnsi="Times New Roman" w:cs="Times New Roman"/>
          <w:bCs/>
          <w:sz w:val="28"/>
          <w:szCs w:val="28"/>
        </w:rPr>
        <w:t xml:space="preserve"> vi phạm.</w:t>
      </w:r>
    </w:p>
    <w:p w:rsidR="00C34AD3" w:rsidRPr="00C34AD3" w:rsidRDefault="00C34AD3" w:rsidP="00C34AD3">
      <w:pPr>
        <w:tabs>
          <w:tab w:val="left" w:pos="7311"/>
        </w:tabs>
        <w:rPr>
          <w:rFonts w:ascii="Times New Roman" w:hAnsi="Times New Roman" w:cs="Times New Roman"/>
          <w:bCs/>
          <w:sz w:val="28"/>
          <w:szCs w:val="28"/>
        </w:rPr>
      </w:pPr>
      <w:proofErr w:type="gramStart"/>
      <w:r w:rsidRPr="00C34AD3">
        <w:rPr>
          <w:rFonts w:ascii="Times New Roman" w:hAnsi="Times New Roman" w:cs="Times New Roman"/>
          <w:bCs/>
          <w:sz w:val="28"/>
          <w:szCs w:val="28"/>
        </w:rPr>
        <w:lastRenderedPageBreak/>
        <w:t>Dự thảo Luật Cán bộ, công chức và Luật Viên chức sửa đổi dự kiến có hiệu lực từ ngày 01/01/2020.</w:t>
      </w:r>
      <w:proofErr w:type="gramEnd"/>
    </w:p>
    <w:p w:rsidR="00C34AD3" w:rsidRPr="00C34AD3" w:rsidRDefault="00C34AD3" w:rsidP="00AF2D42">
      <w:pPr>
        <w:tabs>
          <w:tab w:val="left" w:pos="7311"/>
        </w:tabs>
        <w:jc w:val="center"/>
        <w:rPr>
          <w:rFonts w:ascii="Times New Roman" w:hAnsi="Times New Roman" w:cs="Times New Roman"/>
          <w:bCs/>
          <w:sz w:val="28"/>
          <w:szCs w:val="28"/>
        </w:rPr>
      </w:pPr>
      <w:r>
        <w:rPr>
          <w:rFonts w:ascii="Times New Roman" w:hAnsi="Times New Roman" w:cs="Times New Roman"/>
          <w:bCs/>
          <w:sz w:val="28"/>
          <w:szCs w:val="28"/>
        </w:rPr>
        <w:sym w:font="Wingdings" w:char="F020"/>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p>
    <w:p w:rsidR="00DA7D2C" w:rsidRPr="00DA7D2C" w:rsidRDefault="00DA7D2C" w:rsidP="00DA7D2C">
      <w:pPr>
        <w:tabs>
          <w:tab w:val="left" w:pos="7311"/>
        </w:tabs>
        <w:jc w:val="center"/>
        <w:rPr>
          <w:rFonts w:ascii="Times New Roman" w:hAnsi="Times New Roman" w:cs="Times New Roman"/>
          <w:b/>
          <w:sz w:val="28"/>
          <w:szCs w:val="28"/>
        </w:rPr>
      </w:pPr>
      <w:r w:rsidRPr="00DA7D2C">
        <w:rPr>
          <w:rFonts w:ascii="Times New Roman" w:hAnsi="Times New Roman" w:cs="Times New Roman"/>
          <w:b/>
          <w:sz w:val="28"/>
          <w:szCs w:val="28"/>
        </w:rPr>
        <w:t>ĐIỀU KIỆN ĐỂ VIÊN CHỨC ĐƯỢC NÂNG LƯƠNG TRƯỚC HẠN</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 xml:space="preserve">Tại Khoản 1 Điều 1 Thông tư 08/2013/TT-BNV Hướng dẫn thực hiện chế độ nâng bậc lương thường xuyên và trước thời hạn đối với cán bộ, công, viên chức và người </w:t>
      </w:r>
      <w:proofErr w:type="gramStart"/>
      <w:r w:rsidRPr="00DA7D2C">
        <w:rPr>
          <w:rFonts w:ascii="Times New Roman" w:hAnsi="Times New Roman" w:cs="Times New Roman"/>
          <w:sz w:val="28"/>
          <w:szCs w:val="28"/>
        </w:rPr>
        <w:t>lao</w:t>
      </w:r>
      <w:proofErr w:type="gramEnd"/>
      <w:r w:rsidRPr="00DA7D2C">
        <w:rPr>
          <w:rFonts w:ascii="Times New Roman" w:hAnsi="Times New Roman" w:cs="Times New Roman"/>
          <w:sz w:val="28"/>
          <w:szCs w:val="28"/>
        </w:rPr>
        <w:t xml:space="preserve"> động do Bộ trưởng Bộ Nội vụ ban hành, có quy định các đối tượng được nâng lương trước hạn gồm:</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a) Cán bộ, công chức, viên chức xếp lương theo bảng lương chuyên gia cao cấp, các bảng lương chuyên môn, nghiệp vụ, thừa hành, phục vụ làm việc trong các cơ quan nhà nước từ Trung ương đến xã, phường, thị trấn (xã, phường, thị trấn gọi chung là cấp xã) và trong các đơn vị sự nghiệp công lập, gồm:</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 Cán bộ trong các cơ quan nhà nước từ Trung ương đến quận, huyện, thị xã, thành phố thuộc tỉnh thuộc diện xếp lương theo ngạch, bậc công chức hành chính quy định tại Điểm b Khoản 1 Điều 3 Nghị định số 204/2004/NĐ-CP;</w:t>
      </w:r>
    </w:p>
    <w:p w:rsidR="00DA7D2C" w:rsidRDefault="00DA7D2C" w:rsidP="00C34AD3">
      <w:pPr>
        <w:tabs>
          <w:tab w:val="left" w:pos="7311"/>
        </w:tabs>
        <w:rPr>
          <w:rFonts w:ascii="Times New Roman" w:hAnsi="Times New Roman" w:cs="Times New Roman"/>
          <w:sz w:val="28"/>
          <w:szCs w:val="28"/>
        </w:rPr>
      </w:pPr>
      <w:r w:rsidRPr="00DA7D2C">
        <w:rPr>
          <w:rFonts w:ascii="Times New Roman" w:hAnsi="Times New Roman" w:cs="Times New Roman"/>
          <w:sz w:val="28"/>
          <w:szCs w:val="28"/>
        </w:rPr>
        <w:t xml:space="preserve">- Công chức, viên chức trong các cơ quan nhà nước, đơn vị sự nghiệp công lập xếp lương </w:t>
      </w:r>
      <w:proofErr w:type="gramStart"/>
      <w:r w:rsidRPr="00DA7D2C">
        <w:rPr>
          <w:rFonts w:ascii="Times New Roman" w:hAnsi="Times New Roman" w:cs="Times New Roman"/>
          <w:sz w:val="28"/>
          <w:szCs w:val="28"/>
        </w:rPr>
        <w:t>theo</w:t>
      </w:r>
      <w:proofErr w:type="gramEnd"/>
      <w:r w:rsidRPr="00DA7D2C">
        <w:rPr>
          <w:rFonts w:ascii="Times New Roman" w:hAnsi="Times New Roman" w:cs="Times New Roman"/>
          <w:sz w:val="28"/>
          <w:szCs w:val="28"/>
        </w:rPr>
        <w:t xml:space="preserve"> bảng lương chuyên gia cao cấp, bảng lương chuyên môn, nghiệp vụ, thừa hành, phục vụ (bao gồm cả các chức danh chuyên môn, nghiệp vụ ngành Tòa án, ngành Kiểm sát);</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Cán bộ cấp xã quy định tại Điểm b Khoản 1 Điều 5 và công chức cấp xã quy định tại Điểm a Khoản 2 Điều 5 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 (sau đây gọi là Nghị định số 92/2009/NĐ-CP).</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b) Những người xếp lương theo bảng lương chuyên gia cao cấp, bảng lương chuyên môn, nghiệp vụ, thừa hành, phục vụ do Nhà nước quy định được cấp có thẩm quyền quyết định đến làm việc tại các dự án và các cơ quan, tổ chức quốc tế đặt tại Việt Nam mà vẫn thuộc danh sách trả lương của cơ quan, đơn vị.</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 xml:space="preserve">c) Những người làm việc </w:t>
      </w:r>
      <w:proofErr w:type="gramStart"/>
      <w:r w:rsidRPr="00DA7D2C">
        <w:rPr>
          <w:rFonts w:ascii="Times New Roman" w:hAnsi="Times New Roman" w:cs="Times New Roman"/>
          <w:sz w:val="28"/>
          <w:szCs w:val="28"/>
        </w:rPr>
        <w:t>theo</w:t>
      </w:r>
      <w:proofErr w:type="gramEnd"/>
      <w:r w:rsidRPr="00DA7D2C">
        <w:rPr>
          <w:rFonts w:ascii="Times New Roman" w:hAnsi="Times New Roman" w:cs="Times New Roman"/>
          <w:sz w:val="28"/>
          <w:szCs w:val="28"/>
        </w:rPr>
        <w:t xml:space="preserve"> chế độ hợp đồng lao động xếp lương theo bảng lương do Nhà nước quy định trong cơ quan nhà nước, đơn vị sự nghiệp công lập theo quy định hiện hành của pháp luật.</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lastRenderedPageBreak/>
        <w:t>d) Những người xếp lương theo bảng lương do Nhà nước quy định thuộc chỉ tiêu biên chế được ngân sách nhà nước cấp kinh phí trong các hội có tính chất đặc thù quy định tại Nghị định số 45/2010/NĐ-CP ngày 21 tháng 4 năm 2010 của Chính phủ quy định về tổ chức, hoạt động và quản lý hội và Quyết định số 68/2010/QĐ-TTg ngày 01 tháng 11 năm 2010 của Thủ tướng Chính phủ về việc quy định hội có tính chất đặc thù.</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 xml:space="preserve">Theo đó khi đã thuộc đối tượng được nâng lương trước hạn, tại Khoản 1 Điều 3 Thông tư 08/2013/TT-BNV, có quy định đối với viên chức thì phải đạt đủ 2 tiêu chuẩn: </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 Phải được cấp có thẩm quyền đánh giá từ mức hoàn thành nhiệm vụ trở lên;</w:t>
      </w: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 xml:space="preserve">- Không </w:t>
      </w:r>
      <w:proofErr w:type="gramStart"/>
      <w:r w:rsidRPr="00DA7D2C">
        <w:rPr>
          <w:rFonts w:ascii="Times New Roman" w:hAnsi="Times New Roman" w:cs="Times New Roman"/>
          <w:sz w:val="28"/>
          <w:szCs w:val="28"/>
        </w:rPr>
        <w:t>vi</w:t>
      </w:r>
      <w:proofErr w:type="gramEnd"/>
      <w:r w:rsidRPr="00DA7D2C">
        <w:rPr>
          <w:rFonts w:ascii="Times New Roman" w:hAnsi="Times New Roman" w:cs="Times New Roman"/>
          <w:sz w:val="28"/>
          <w:szCs w:val="28"/>
        </w:rPr>
        <w:t xml:space="preserve"> phạm kỷ luật một trong các hình thức khiển trách, cảnh cáo, cách chức.</w:t>
      </w:r>
    </w:p>
    <w:p w:rsidR="00DA7D2C" w:rsidRPr="00DA7D2C" w:rsidRDefault="00DA7D2C" w:rsidP="00DA7D2C">
      <w:pPr>
        <w:tabs>
          <w:tab w:val="left" w:pos="7311"/>
        </w:tabs>
        <w:rPr>
          <w:rFonts w:ascii="Times New Roman" w:hAnsi="Times New Roman" w:cs="Times New Roman"/>
          <w:sz w:val="28"/>
          <w:szCs w:val="28"/>
        </w:rPr>
      </w:pPr>
      <w:proofErr w:type="gramStart"/>
      <w:r w:rsidRPr="00DA7D2C">
        <w:rPr>
          <w:rFonts w:ascii="Times New Roman" w:hAnsi="Times New Roman" w:cs="Times New Roman"/>
          <w:sz w:val="28"/>
          <w:szCs w:val="28"/>
        </w:rPr>
        <w:t>Đồng thời cũng phải đáp ứng điều kiện đã lập thành tích xuất sắc trong thực hiện nhiệm vụ, được cấp có thẩm quyền quyết định công nhận bằng văn bản.</w:t>
      </w:r>
      <w:proofErr w:type="gramEnd"/>
    </w:p>
    <w:p w:rsidR="00DA7D2C" w:rsidRDefault="00DA7D2C" w:rsidP="00DA7D2C">
      <w:pPr>
        <w:tabs>
          <w:tab w:val="left" w:pos="7311"/>
        </w:tabs>
        <w:jc w:val="center"/>
        <w:rPr>
          <w:rFonts w:ascii="Times New Roman" w:hAnsi="Times New Roman" w:cs="Times New Roman"/>
          <w:bCs/>
          <w:sz w:val="28"/>
          <w:szCs w:val="28"/>
        </w:rPr>
      </w:pP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r>
        <w:rPr>
          <w:rFonts w:ascii="Times New Roman" w:hAnsi="Times New Roman" w:cs="Times New Roman"/>
          <w:bCs/>
          <w:sz w:val="28"/>
          <w:szCs w:val="28"/>
        </w:rPr>
        <w:sym w:font="Wingdings" w:char="F09A"/>
      </w:r>
    </w:p>
    <w:p w:rsidR="00DA7D2C" w:rsidRPr="00C34AD3" w:rsidRDefault="00AF2D42" w:rsidP="00DA7D2C">
      <w:pPr>
        <w:tabs>
          <w:tab w:val="left" w:pos="7311"/>
        </w:tabs>
        <w:jc w:val="center"/>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0A810A2A">
            <wp:extent cx="5011420" cy="26276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1420" cy="2627630"/>
                    </a:xfrm>
                    <a:prstGeom prst="rect">
                      <a:avLst/>
                    </a:prstGeom>
                    <a:noFill/>
                  </pic:spPr>
                </pic:pic>
              </a:graphicData>
            </a:graphic>
          </wp:inline>
        </w:drawing>
      </w:r>
    </w:p>
    <w:p w:rsidR="00DA7D2C" w:rsidRPr="00DA7D2C" w:rsidRDefault="00DA7D2C" w:rsidP="00DA7D2C">
      <w:pPr>
        <w:tabs>
          <w:tab w:val="left" w:pos="5677"/>
        </w:tabs>
        <w:rPr>
          <w:rFonts w:ascii="Times New Roman" w:hAnsi="Times New Roman" w:cs="Times New Roman"/>
          <w:sz w:val="28"/>
          <w:szCs w:val="28"/>
        </w:rPr>
      </w:pPr>
    </w:p>
    <w:p w:rsidR="00DA7D2C" w:rsidRPr="00DA7D2C" w:rsidRDefault="00DA7D2C" w:rsidP="00DA7D2C">
      <w:pPr>
        <w:tabs>
          <w:tab w:val="left" w:pos="7311"/>
        </w:tabs>
        <w:rPr>
          <w:rFonts w:ascii="Times New Roman" w:hAnsi="Times New Roman" w:cs="Times New Roman"/>
          <w:sz w:val="28"/>
          <w:szCs w:val="28"/>
        </w:rPr>
      </w:pPr>
      <w:r w:rsidRPr="00DA7D2C">
        <w:rPr>
          <w:rFonts w:ascii="Times New Roman" w:hAnsi="Times New Roman" w:cs="Times New Roman"/>
          <w:sz w:val="28"/>
          <w:szCs w:val="28"/>
        </w:rPr>
        <w:tab/>
      </w:r>
      <w:r w:rsidRPr="00DA7D2C">
        <w:rPr>
          <w:rFonts w:ascii="Times New Roman" w:hAnsi="Times New Roman" w:cs="Times New Roman"/>
          <w:sz w:val="28"/>
          <w:szCs w:val="28"/>
        </w:rPr>
        <w:tab/>
      </w:r>
    </w:p>
    <w:p w:rsidR="00C34AD3" w:rsidRPr="00C34AD3" w:rsidRDefault="00C34AD3" w:rsidP="00DA7D2C">
      <w:pPr>
        <w:tabs>
          <w:tab w:val="left" w:pos="7311"/>
        </w:tabs>
        <w:rPr>
          <w:rFonts w:ascii="Times New Roman" w:hAnsi="Times New Roman" w:cs="Times New Roman"/>
          <w:sz w:val="28"/>
          <w:szCs w:val="28"/>
        </w:rPr>
      </w:pPr>
      <w:r w:rsidRPr="00C34AD3">
        <w:rPr>
          <w:rFonts w:ascii="Times New Roman" w:hAnsi="Times New Roman" w:cs="Times New Roman"/>
          <w:sz w:val="28"/>
          <w:szCs w:val="28"/>
        </w:rPr>
        <w:tab/>
      </w:r>
    </w:p>
    <w:p w:rsidR="00285655" w:rsidRPr="00C34AD3" w:rsidRDefault="00285655" w:rsidP="00C34AD3">
      <w:pPr>
        <w:rPr>
          <w:rFonts w:ascii="Times New Roman" w:hAnsi="Times New Roman" w:cs="Times New Roman"/>
          <w:sz w:val="28"/>
          <w:szCs w:val="28"/>
        </w:rPr>
      </w:pPr>
    </w:p>
    <w:sectPr w:rsidR="00285655" w:rsidRPr="00C34AD3" w:rsidSect="00AF2D42">
      <w:pgSz w:w="12240" w:h="15840"/>
      <w:pgMar w:top="1134" w:right="119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FC" w:rsidRDefault="004677FC" w:rsidP="00AF2D42">
      <w:pPr>
        <w:spacing w:after="0" w:line="240" w:lineRule="auto"/>
      </w:pPr>
      <w:r>
        <w:separator/>
      </w:r>
    </w:p>
  </w:endnote>
  <w:endnote w:type="continuationSeparator" w:id="0">
    <w:p w:rsidR="004677FC" w:rsidRDefault="004677FC" w:rsidP="00AF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FC" w:rsidRDefault="004677FC" w:rsidP="00AF2D42">
      <w:pPr>
        <w:spacing w:after="0" w:line="240" w:lineRule="auto"/>
      </w:pPr>
      <w:r>
        <w:separator/>
      </w:r>
    </w:p>
  </w:footnote>
  <w:footnote w:type="continuationSeparator" w:id="0">
    <w:p w:rsidR="004677FC" w:rsidRDefault="004677FC" w:rsidP="00AF2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D3"/>
    <w:rsid w:val="00253E3A"/>
    <w:rsid w:val="00285655"/>
    <w:rsid w:val="003D2415"/>
    <w:rsid w:val="004677FC"/>
    <w:rsid w:val="00954004"/>
    <w:rsid w:val="00AF2D42"/>
    <w:rsid w:val="00B92840"/>
    <w:rsid w:val="00C34AD3"/>
    <w:rsid w:val="00DA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AD3"/>
    <w:rPr>
      <w:color w:val="0000FF" w:themeColor="hyperlink"/>
      <w:u w:val="single"/>
    </w:rPr>
  </w:style>
  <w:style w:type="paragraph" w:styleId="BalloonText">
    <w:name w:val="Balloon Text"/>
    <w:basedOn w:val="Normal"/>
    <w:link w:val="BalloonTextChar"/>
    <w:uiPriority w:val="99"/>
    <w:semiHidden/>
    <w:unhideWhenUsed/>
    <w:rsid w:val="00C3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D3"/>
    <w:rPr>
      <w:rFonts w:ascii="Tahoma" w:hAnsi="Tahoma" w:cs="Tahoma"/>
      <w:sz w:val="16"/>
      <w:szCs w:val="16"/>
    </w:rPr>
  </w:style>
  <w:style w:type="paragraph" w:styleId="Header">
    <w:name w:val="header"/>
    <w:basedOn w:val="Normal"/>
    <w:link w:val="HeaderChar"/>
    <w:uiPriority w:val="99"/>
    <w:unhideWhenUsed/>
    <w:rsid w:val="00AF2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D42"/>
  </w:style>
  <w:style w:type="paragraph" w:styleId="Footer">
    <w:name w:val="footer"/>
    <w:basedOn w:val="Normal"/>
    <w:link w:val="FooterChar"/>
    <w:uiPriority w:val="99"/>
    <w:unhideWhenUsed/>
    <w:rsid w:val="00AF2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AD3"/>
    <w:rPr>
      <w:color w:val="0000FF" w:themeColor="hyperlink"/>
      <w:u w:val="single"/>
    </w:rPr>
  </w:style>
  <w:style w:type="paragraph" w:styleId="BalloonText">
    <w:name w:val="Balloon Text"/>
    <w:basedOn w:val="Normal"/>
    <w:link w:val="BalloonTextChar"/>
    <w:uiPriority w:val="99"/>
    <w:semiHidden/>
    <w:unhideWhenUsed/>
    <w:rsid w:val="00C3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D3"/>
    <w:rPr>
      <w:rFonts w:ascii="Tahoma" w:hAnsi="Tahoma" w:cs="Tahoma"/>
      <w:sz w:val="16"/>
      <w:szCs w:val="16"/>
    </w:rPr>
  </w:style>
  <w:style w:type="paragraph" w:styleId="Header">
    <w:name w:val="header"/>
    <w:basedOn w:val="Normal"/>
    <w:link w:val="HeaderChar"/>
    <w:uiPriority w:val="99"/>
    <w:unhideWhenUsed/>
    <w:rsid w:val="00AF2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D42"/>
  </w:style>
  <w:style w:type="paragraph" w:styleId="Footer">
    <w:name w:val="footer"/>
    <w:basedOn w:val="Normal"/>
    <w:link w:val="FooterChar"/>
    <w:uiPriority w:val="99"/>
    <w:unhideWhenUsed/>
    <w:rsid w:val="00AF2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2%2f2018%2fN%c4%90-CP&amp;area=2&amp;type=0&amp;lan=1&amp;match=False&amp;sort=2&amp;vc=True" TargetMode="External"/><Relationship Id="rId13" Type="http://schemas.openxmlformats.org/officeDocument/2006/relationships/hyperlink" Target="http://thuvienphapluat.vn/phap-luat/tim-van-ban.aspx?keyword=157%2f2018%2fN%c4%90-CP&amp;area=2&amp;type=0&amp;lan=1&amp;match=False&amp;sort=2&amp;vc=Tr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uvienphapluat.vn/van-ban/Lao-dong-Tien-luong/Nghi-quyet-27-NQ-TW-2018-cai-cach-chinh-sach-tien-luong-doi-voi-can-bo-cong-chuc-vien-chuc-382336.aspx" TargetMode="External"/><Relationship Id="rId1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s://thuvienphapluat.vn/van-ban/Lao-dong-Tien-luong/Nghi-quyet-27-NQ-TW-2018-cai-cach-chinh-sach-tien-luong-doi-voi-can-bo-cong-chuc-vien-chuc-382336.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Lao-dong-Tien-luong/Nghi-quyet-27-NQ-TW-2018-cai-cach-chinh-sach-tien-luong-doi-voi-can-bo-cong-chuc-vien-chuc-382336.aspx" TargetMode="External"/><Relationship Id="rId5" Type="http://schemas.openxmlformats.org/officeDocument/2006/relationships/footnotes" Target="footnotes.xml"/><Relationship Id="rId15" Type="http://schemas.openxmlformats.org/officeDocument/2006/relationships/hyperlink" Target="https://thuvienphapluat.vn/van-ban/Bo-may-hanh-chinh/Luat-vien-chuc-2010-115271.aspx" TargetMode="External"/><Relationship Id="rId10" Type="http://schemas.openxmlformats.org/officeDocument/2006/relationships/hyperlink" Target="https://thuvienphapluat.vn/van-ban/Lao-dong-Tien-luong/Nghi-quyet-27-NQ-TW-2018-cai-cach-chinh-sach-tien-luong-doi-voi-can-bo-cong-chuc-vien-chuc-382336.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Tai-chinh-nha-nuoc/Nghi-quyet-70-2018-QH14-du-toan-ngan-sach-nha-nuoc-2019-366981.aspx" TargetMode="External"/><Relationship Id="rId14" Type="http://schemas.openxmlformats.org/officeDocument/2006/relationships/hyperlink" Target="https://thuvienphapluat.vn/van-ban/Bo-may-hanh-chinh/Luat-can-bo-cong-chuc-va-Luat-vien-chuc-sua-doi-4057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2019-04-24T11:14:00Z</dcterms:created>
  <dcterms:modified xsi:type="dcterms:W3CDTF">2019-10-11T00:19:00Z</dcterms:modified>
</cp:coreProperties>
</file>